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46.9834594726562"/>
        <w:gridCol w:w="8013.016540527344"/>
        <w:tblGridChange w:id="0">
          <w:tblGrid>
            <w:gridCol w:w="1346.9834594726562"/>
            <w:gridCol w:w="8013.0165405273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Bcc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you need to know about </w:t>
            </w:r>
            <w:r w:rsidDel="00000000" w:rsidR="00000000" w:rsidRPr="00000000">
              <w:rPr>
                <w:rtl w:val="0"/>
              </w:rPr>
              <w:t xml:space="preserve">PHASE China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0" w:hRule="atLeast"/>
          <w:tblHeader w:val="0"/>
        </w:trPr>
        <w:tc>
          <w:tcPr>
            <w:gridSpan w:val="2"/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auto" w:val="clear"/>
            <w:tcMar>
              <w:top w:w="240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Dear [Approval’s Name],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I am writing to request your approval to attend the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PHASE China 2026 conference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, which will be held at </w:t>
            </w:r>
            <w:r w:rsidDel="00000000" w:rsidR="00000000" w:rsidRPr="00000000">
              <w:rPr>
                <w:color w:val="222222"/>
                <w:rtl w:val="0"/>
              </w:rPr>
              <w:t xml:space="preserve">Shanghai American School (Pudong Campus) on 14-16 May 2026.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A little bit of background about PHASE conference, this annual conference</w:t>
            </w:r>
            <w:r w:rsidDel="00000000" w:rsidR="00000000" w:rsidRPr="00000000">
              <w:rPr>
                <w:rtl w:val="0"/>
              </w:rPr>
              <w:t xml:space="preserve"> has brought over 5,000 educators from all over the world to share best practices since its inception in 2015, all for the sake of </w:t>
            </w:r>
            <w:r w:rsidDel="00000000" w:rsidR="00000000" w:rsidRPr="00000000">
              <w:rPr>
                <w:rtl w:val="0"/>
              </w:rPr>
              <w:t xml:space="preserve">learning from leading authorities in their respective fields as well as from practitioner presenters, to network with fellow educators, and to access good practice and resources in multiple formats.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The details for the upcoming event are still coming together but information on the previous event in China gives you a good sense of what to expect: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total of 200+ attendees join the inaugural PHASE China in 2025 from across 16 countries -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Watch their feedback here.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(Our sister event - PHASE Asia Pacific recently saw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 record-breaking 477 from 32 countries for the four days of pre-conference workshops and main conference days.)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60+ sessions of in-person sharing, including 1 two-day pre-conferences, 1 one-day pre-conferences, 7 blocks of breakout sessions with each up to 7 sessions per breakout block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43 international speakers presented at PHASE China, contributing to the growth and development of the PHASE conference attendees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I believe that attending this conference would be a valuable professional development opportunity for me.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 would have the opportunity to learn from some of the world's leading educators, and I would be able to bring back new ideas and strategies that I could use in my classroom.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Here is a quick breakdown of the costs to cover our attendance to the conference as a team of three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(or more)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 the Main Conference: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Refer to price list here, group discounts available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For the pre-conference workshops: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View all workshops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Hotel Costs: Official hotel to be confirmed - booking done through the same conference ticket registration link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Flights: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Google flights search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Estimated travel costs: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(below for reference)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Currency exchange rate: </w:t>
            </w: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USD &gt; CNY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Recommended ride booking app - DiDi (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Google Play</w:t>
              </w:r>
            </w:hyperlink>
            <w:r w:rsidDel="00000000" w:rsidR="00000000" w:rsidRPr="00000000">
              <w:rPr>
                <w:rtl w:val="0"/>
              </w:rPr>
              <w:t xml:space="preserve"> /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App Store</w:t>
              </w:r>
            </w:hyperlink>
            <w:r w:rsidDel="00000000" w:rsidR="00000000" w:rsidRPr="00000000">
              <w:rPr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Klook Airport Transfer 1-way</w:t>
              </w:r>
            </w:hyperlink>
            <w:r w:rsidDel="00000000" w:rsidR="00000000" w:rsidRPr="00000000">
              <w:rPr>
                <w:rtl w:val="0"/>
              </w:rPr>
              <w:t xml:space="preserve"> as reference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About airport: </w:t>
            </w: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Shanghai Pudong International Airport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line="36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Conference Venue: </w:t>
            </w: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saschina.org</w:t>
              </w:r>
            </w:hyperlink>
            <w:r w:rsidDel="00000000" w:rsidR="00000000" w:rsidRPr="00000000">
              <w:rPr>
                <w:rtl w:val="0"/>
              </w:rPr>
              <w:t xml:space="preserve"> (Pudong Campus)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ind w:left="144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I appreciate your consideration of my request.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Thank you for your time and attention.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Sincerely,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[Your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PHASE China 2026 | 14-16 May 2026 | Shanghai American School (Pudong Campus)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xe.com/currencyconverter/convert/?Amount=1&amp;From=USD&amp;To=CNY" TargetMode="External"/><Relationship Id="rId10" Type="http://schemas.openxmlformats.org/officeDocument/2006/relationships/hyperlink" Target="https://www.google.com/travel/flights" TargetMode="External"/><Relationship Id="rId13" Type="http://schemas.openxmlformats.org/officeDocument/2006/relationships/hyperlink" Target="https://apps.apple.com/my/app/didi-rider/id1362398401" TargetMode="External"/><Relationship Id="rId12" Type="http://schemas.openxmlformats.org/officeDocument/2006/relationships/hyperlink" Target="https://play.google.com/store/apps/details?id=com.didiglobal.passenger&amp;pcampaignid=web_shar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hase.community/china/preconferences" TargetMode="External"/><Relationship Id="rId15" Type="http://schemas.openxmlformats.org/officeDocument/2006/relationships/hyperlink" Target="https://g.co/kgs/8XkpH8f" TargetMode="External"/><Relationship Id="rId14" Type="http://schemas.openxmlformats.org/officeDocument/2006/relationships/hyperlink" Target="https://www.klook.com/en-MY/airport-transfers/results/?flightDirection=1&amp;from=Singapore%20Changi%20Airport(SIN)&amp;to=Holiday%20Inn%20Express%20Singapore%20Katong%2C%20an%20IHG%20Hotel&amp;address=88%20E%20Coast%20Rd%2C%20Singapore%20423371&amp;lat=1.350189&amp;long=103.994433&amp;poiId=50185459&amp;poi_lat=1.3047255&amp;poi_long=103.9046894&amp;time=2025-11-12%2009%3A00&amp;pas=2&amp;code=SIN&amp;place=&amp;ac=&amp;kcid=6&amp;spm=AirportTransfer_SearchResult.SearchBtn&amp;clickId=9931ca6a89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saschina.org/" TargetMode="External"/><Relationship Id="rId5" Type="http://schemas.openxmlformats.org/officeDocument/2006/relationships/styles" Target="styles.xml"/><Relationship Id="rId6" Type="http://schemas.openxmlformats.org/officeDocument/2006/relationships/hyperlink" Target="https://phase.community/conference-china" TargetMode="External"/><Relationship Id="rId7" Type="http://schemas.openxmlformats.org/officeDocument/2006/relationships/hyperlink" Target="https://youtu.be/s5w6WzWlvbQ?si=mrimFDKiLe5mjhlp" TargetMode="External"/><Relationship Id="rId8" Type="http://schemas.openxmlformats.org/officeDocument/2006/relationships/hyperlink" Target="https://phase.community/register-ch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